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b/>
          <w:bCs/>
          <w:sz w:val="24"/>
          <w:szCs w:val="24"/>
          <w:lang w:eastAsia="it-IT"/>
        </w:rPr>
        <w:t>Legge 26 maggio 1970, n. 381</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"Aumento del contributo ordinario dello Stato a favore dell'Ente nazionale per la protezione e l'assistenza ai sordomuti e delle misure dell'assegno di assistenza ai sordomuti"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(Pubblicata nella G.U. 23 giugno 1970, n. 156)</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b/>
          <w:bCs/>
          <w:sz w:val="24"/>
          <w:szCs w:val="24"/>
          <w:lang w:eastAsia="it-IT"/>
        </w:rPr>
        <w:t>Nota bene</w:t>
      </w:r>
      <w:r w:rsidRPr="005235C4">
        <w:rPr>
          <w:rFonts w:ascii="Times New Roman" w:eastAsia="Times New Roman" w:hAnsi="Times New Roman" w:cs="Times New Roman"/>
          <w:sz w:val="24"/>
          <w:szCs w:val="24"/>
          <w:lang w:eastAsia="it-IT"/>
        </w:rPr>
        <w:t xml:space="preserve">: Si consiglia, anche, la consultazione della </w:t>
      </w:r>
      <w:hyperlink r:id="rId4" w:history="1">
        <w:r w:rsidRPr="005235C4">
          <w:rPr>
            <w:rFonts w:ascii="Times New Roman" w:eastAsia="Times New Roman" w:hAnsi="Times New Roman" w:cs="Times New Roman"/>
            <w:color w:val="0000FF"/>
            <w:sz w:val="24"/>
            <w:szCs w:val="24"/>
            <w:u w:val="single"/>
            <w:lang w:eastAsia="it-IT"/>
          </w:rPr>
          <w:t>Legge 18 dicembre 1973, n. 854</w:t>
        </w:r>
      </w:hyperlink>
      <w:r w:rsidRPr="005235C4">
        <w:rPr>
          <w:rFonts w:ascii="Times New Roman" w:eastAsia="Times New Roman" w:hAnsi="Times New Roman" w:cs="Times New Roman"/>
          <w:sz w:val="24"/>
          <w:szCs w:val="24"/>
          <w:lang w:eastAsia="it-IT"/>
        </w:rPr>
        <w:t>, (artt. 1 e 11), della L. 12 gennaio 1974, n. 7 e del D.P.R. 9 maggio 1994, n. 608</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0" w:name="a1"/>
      <w:r w:rsidRPr="005235C4">
        <w:rPr>
          <w:rFonts w:ascii="Times New Roman" w:eastAsia="Times New Roman" w:hAnsi="Times New Roman" w:cs="Times New Roman"/>
          <w:sz w:val="24"/>
          <w:szCs w:val="24"/>
          <w:lang w:eastAsia="it-IT"/>
        </w:rPr>
        <w:t>1.</w:t>
      </w:r>
      <w:bookmarkEnd w:id="0"/>
      <w:r w:rsidRPr="005235C4">
        <w:rPr>
          <w:rFonts w:ascii="Times New Roman" w:eastAsia="Times New Roman" w:hAnsi="Times New Roman" w:cs="Times New Roman"/>
          <w:sz w:val="24"/>
          <w:szCs w:val="24"/>
          <w:lang w:eastAsia="it-IT"/>
        </w:rPr>
        <w:t xml:space="preserve"> Assegno mensile di assistenza. - A decorrere dal 1° maggio 1969 è concesso ai sordomuti di età superiore agli anni 18 un assegno mensile di assistenza di lire 12.000 (1).</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Agli effetti della presente legge si considera sordomuto il minorato sensoriale dell'udito affetto da sordità congenita o acquisita durante l'età evolutiva che gli abbia impedito il normale apprendimento del linguaggio parlato, purché la sordità non sia di natura esclusivamente psichica o dipendente da causa di guerra, di lavoro o di servizio. L'assegno è corrisposto nella misura del 50 per cento a coloro che siano ricoverati in istituti che provvedono alla loro assistenza.</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(2).</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Con la mensilità relativa al mese di dicembre è concesso un tredicesimo assegno di lire 12.000 che è frazionabile in relazione alle mensilità corrisposte nell'anno (3).</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(1) Importi aggiornati da provvedimenti successivi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(2) Si omette il comma abrogato dall'art. 3-bis, Decreto Legge 23 dicembre 1976, n. 850.</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 xml:space="preserve">(3) Si consulti , anche, l'art. 14-septies, D.L. 30 dicembre 1979, n. 663, convertito dalla </w:t>
      </w:r>
      <w:hyperlink r:id="rId5" w:history="1">
        <w:r w:rsidRPr="005235C4">
          <w:rPr>
            <w:rFonts w:ascii="Times New Roman" w:eastAsia="Times New Roman" w:hAnsi="Times New Roman" w:cs="Times New Roman"/>
            <w:i/>
            <w:iCs/>
            <w:color w:val="0000FF"/>
            <w:sz w:val="24"/>
            <w:szCs w:val="24"/>
            <w:u w:val="single"/>
            <w:lang w:eastAsia="it-IT"/>
          </w:rPr>
          <w:t>Legge 29 febbraio 1980, n.33.</w:t>
        </w:r>
      </w:hyperlink>
      <w:r w:rsidRPr="005235C4">
        <w:rPr>
          <w:rFonts w:ascii="Times New Roman" w:eastAsia="Times New Roman" w:hAnsi="Times New Roman" w:cs="Times New Roman"/>
          <w:i/>
          <w:iCs/>
          <w:sz w:val="24"/>
          <w:szCs w:val="24"/>
          <w:lang w:eastAsia="it-IT"/>
        </w:rPr>
        <w:t xml:space="preserve"> Si veda inoltre l'art. 4, </w:t>
      </w:r>
      <w:hyperlink r:id="rId6" w:anchor="a4" w:history="1">
        <w:r w:rsidRPr="005235C4">
          <w:rPr>
            <w:rFonts w:ascii="Times New Roman" w:eastAsia="Times New Roman" w:hAnsi="Times New Roman" w:cs="Times New Roman"/>
            <w:i/>
            <w:iCs/>
            <w:color w:val="0000FF"/>
            <w:sz w:val="24"/>
            <w:szCs w:val="24"/>
            <w:u w:val="single"/>
            <w:lang w:eastAsia="it-IT"/>
          </w:rPr>
          <w:t>L. 21 novembre 1988, n. 508</w:t>
        </w:r>
      </w:hyperlink>
      <w:r w:rsidRPr="005235C4">
        <w:rPr>
          <w:rFonts w:ascii="Times New Roman" w:eastAsia="Times New Roman" w:hAnsi="Times New Roman" w:cs="Times New Roman"/>
          <w:i/>
          <w:iCs/>
          <w:sz w:val="24"/>
          <w:szCs w:val="24"/>
          <w:lang w:eastAsia="it-IT"/>
        </w:rPr>
        <w:t>.</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1" w:name="a2"/>
      <w:r w:rsidRPr="005235C4">
        <w:rPr>
          <w:rFonts w:ascii="Times New Roman" w:eastAsia="Times New Roman" w:hAnsi="Times New Roman" w:cs="Times New Roman"/>
          <w:sz w:val="24"/>
          <w:szCs w:val="24"/>
          <w:lang w:eastAsia="it-IT"/>
        </w:rPr>
        <w:t>2.</w:t>
      </w:r>
      <w:bookmarkEnd w:id="1"/>
      <w:r w:rsidRPr="005235C4">
        <w:rPr>
          <w:rFonts w:ascii="Times New Roman" w:eastAsia="Times New Roman" w:hAnsi="Times New Roman" w:cs="Times New Roman"/>
          <w:sz w:val="24"/>
          <w:szCs w:val="24"/>
          <w:lang w:eastAsia="it-IT"/>
        </w:rPr>
        <w:t xml:space="preserve"> Norme per la concessione. - La concessione dell'assegno è deliberata, sempre che l'interessato non risulti iscritto nei ruoli dell'imposta complementare sui redditi, dal comitato provinciale di assistenza e beneficenza pubblica, del quale fanno parte, limitatamente all'applicazione della presente legge, due rappresentanti dell'Ente nazionale per la protezione e l'assistenza ai sordomuti, nominati con decreto del prefetto su designazione dell'ente stesso.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 xml:space="preserve">Nelle province di Trento e di Bolzano la concessione dell'assegno è effettuata dal comitato provinciale di assistenza e beneficenza pubblica, previsto dall'art. 7, </w:t>
      </w:r>
      <w:proofErr w:type="spellStart"/>
      <w:r w:rsidRPr="005235C4">
        <w:rPr>
          <w:rFonts w:ascii="Times New Roman" w:eastAsia="Times New Roman" w:hAnsi="Times New Roman" w:cs="Times New Roman"/>
          <w:sz w:val="24"/>
          <w:szCs w:val="24"/>
          <w:lang w:eastAsia="it-IT"/>
        </w:rPr>
        <w:t>D.Lgs.Lgt</w:t>
      </w:r>
      <w:proofErr w:type="spellEnd"/>
      <w:r w:rsidRPr="005235C4">
        <w:rPr>
          <w:rFonts w:ascii="Times New Roman" w:eastAsia="Times New Roman" w:hAnsi="Times New Roman" w:cs="Times New Roman"/>
          <w:sz w:val="24"/>
          <w:szCs w:val="24"/>
          <w:lang w:eastAsia="it-IT"/>
        </w:rPr>
        <w:t>. 22 marzo 1945, n. 173, e di cui sono chiamati a far parte, in luogo dei membri di cui ai numeri 6) e 7) dell'articolo del predetto decreto legislativo luogotenenziale n. 173, rispettivamente un funzionario in servizio presso il Commissariato del Governo, con qualifica non inferiore a direttore di sezione, e un medico dipendente da pubbliche amministrazioni designato dal Presidente della Regione. La nomina dei due rappresentanti dell'Ente nazionale per la protezione e l'assistenza ai sordomuti, di cui al primo comma, viene effettuata dal Commissario del Governo presso la Regione Trentino-Alto Adige, su designazione dell'ente stesso.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Nella Regione della Valle d'Aosta provvede il Comitato regionale di assistenza e beneficenza pubblica, integrato con due rappresentanti dell'Ente nazionale per la protezione e l'assistenza ai sordomuti, nominati dal Presidente della Giunta regionale.</w:t>
      </w:r>
    </w:p>
    <w:p w:rsidR="005235C4" w:rsidRPr="005235C4" w:rsidRDefault="005235C4" w:rsidP="005235C4">
      <w:pPr>
        <w:spacing w:before="100" w:beforeAutospacing="1" w:after="240"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lastRenderedPageBreak/>
        <w:t>Avverso la deliberazione del comitato provinciale l'interessato può presentare, entro trenta giorni dalla notifica, ricorso in carta semplice al Ministero dell'interno, che provvede previo parere di una commissione consultiva, composta dal direttore generale dell'assistenza pubblica, in qualità di presidente, da un funzionario del Ministero dell'interno con qualifica non inferiore a vice prefetto ispettore, da un funzionario del Ministero del tesoro con qualifica non inferiore a direttore di divisione e da due rappresentanti della categoria, designati dall'Ente nazionale per la protezione e l'assistenza dei sordomuti. Le funzioni di segretario della commissione sono svolte da un funzionario del Ministero dell'interno con qualifica non inferiore a direttore di sezione.</w:t>
      </w:r>
      <w:r w:rsidRPr="005235C4">
        <w:rPr>
          <w:rFonts w:ascii="Times New Roman" w:eastAsia="Times New Roman" w:hAnsi="Times New Roman" w:cs="Times New Roman"/>
          <w:sz w:val="24"/>
          <w:szCs w:val="24"/>
          <w:lang w:eastAsia="it-IT"/>
        </w:rPr>
        <w:br/>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2" w:name="a3"/>
      <w:r w:rsidRPr="005235C4">
        <w:rPr>
          <w:rFonts w:ascii="Times New Roman" w:eastAsia="Times New Roman" w:hAnsi="Times New Roman" w:cs="Times New Roman"/>
          <w:sz w:val="24"/>
          <w:szCs w:val="24"/>
          <w:lang w:eastAsia="it-IT"/>
        </w:rPr>
        <w:t>3.</w:t>
      </w:r>
      <w:bookmarkEnd w:id="2"/>
      <w:r w:rsidRPr="005235C4">
        <w:rPr>
          <w:rFonts w:ascii="Times New Roman" w:eastAsia="Times New Roman" w:hAnsi="Times New Roman" w:cs="Times New Roman"/>
          <w:sz w:val="24"/>
          <w:szCs w:val="24"/>
          <w:lang w:eastAsia="it-IT"/>
        </w:rPr>
        <w:t xml:space="preserve"> Accertamenti sanitari - Commissione sanitaria provinciale - Presentazione delle domande di concessione. - L'accertamento del sordomutismo è effettuato dalla commissione sanitaria provinciale presso l'ufficio del medico provinciale, nominata dal medico provinciale e così composta:</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dal medico provinciale, che la presiede e che, in sua sostituzione, può designare, con funzioni di presidente, un funzionario medico dell'ufficio del medico provinciale stesso o un ufficiale sanitario o un altro medico dell'ufficio comunale di igiene. Il medico provinciale è tenuto ad effettuare tale designazione nel caso in cui egli faccia parte della commissione sanitaria regionale di cui all'articolo successivo;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da un medico specialista in otorinolaringoiatria designato dal capo dell'Ispettorato provinciale del lavoro;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da un medico designato dalla sezione provinciale dell'Ente nazionale per la protezione e l'assistenza dei sordomuti.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Le funzioni di segretario della commissione sono esercitate, su designazione del medico provinciale, da un funzionario della carriera direttiva-amministrativa del Ministero della sanità o del Ministero dell'interno.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I sordomuti, per ottenere il riconoscimento della menomazione a tutti gli effetti giuridici e l'assegno mensile di assistenza, debbono presentare domanda alla commissione prevista nel primo comma (4).</w:t>
      </w:r>
    </w:p>
    <w:p w:rsidR="005235C4" w:rsidRPr="005235C4" w:rsidRDefault="005235C4" w:rsidP="005235C4">
      <w:pPr>
        <w:spacing w:before="100" w:beforeAutospacing="1" w:after="240"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(4) Si veda, anche, l'art. 4, L. 26 maggio 1975, n. 165,</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3" w:name="a4"/>
      <w:r w:rsidRPr="005235C4">
        <w:rPr>
          <w:rFonts w:ascii="Times New Roman" w:eastAsia="Times New Roman" w:hAnsi="Times New Roman" w:cs="Times New Roman"/>
          <w:sz w:val="24"/>
          <w:szCs w:val="24"/>
          <w:lang w:eastAsia="it-IT"/>
        </w:rPr>
        <w:t>4.</w:t>
      </w:r>
      <w:bookmarkEnd w:id="3"/>
      <w:r w:rsidRPr="005235C4">
        <w:rPr>
          <w:rFonts w:ascii="Times New Roman" w:eastAsia="Times New Roman" w:hAnsi="Times New Roman" w:cs="Times New Roman"/>
          <w:sz w:val="24"/>
          <w:szCs w:val="24"/>
          <w:lang w:eastAsia="it-IT"/>
        </w:rPr>
        <w:t xml:space="preserve"> Ricorsi - Commissione sanitaria regionale. - Contro il giudizio della commissione sanitaria provinciale l'interessato può ricorrere, entro trenta giorni dalla ricevuta comunicazione, alla commissione sanitaria regionale costituita presso l'ufficio del medico provinciale del capoluogo della regione, nominata dal Ministro per la sanità e così composta:</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dal medico provinciale che la presiede; da un ispettore medico del lavoro o da un altro medico designato dal capo dell'Ispettorato regionale del lavoro;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da un medico specialista in otorinolaringoiatria, designato dall'ordine dei medici della provincia capoluogo di regione;</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dall'ufficiale sanitario del comune capoluogo di regione; da un medico specialista in otorinolaringoiatria designato dall'Ente nazionale per la protezione e l'assistenza dei sordomuti.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lastRenderedPageBreak/>
        <w:t>Le funzioni di segretario sono esercitate da un funzionario del ruolo della carriera direttiva-amministrativa del Ministero della sanità o del Ministero dell'interno (4).</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La decisione della commissione sanitaria regionale ha carattere definitivo e deve essere comunicata entro dieci giorni, a cura del segretario, alla competente commissione sanitaria provinciale e notificata in via amministrativa all'interessato.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(4) Si veda, anche, l'art. 4, L. 26 maggio 1975, n. 165.</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4" w:name="a5"/>
      <w:r w:rsidRPr="005235C4">
        <w:rPr>
          <w:rFonts w:ascii="Times New Roman" w:eastAsia="Times New Roman" w:hAnsi="Times New Roman" w:cs="Times New Roman"/>
          <w:sz w:val="24"/>
          <w:szCs w:val="24"/>
          <w:lang w:eastAsia="it-IT"/>
        </w:rPr>
        <w:t>5.</w:t>
      </w:r>
      <w:bookmarkEnd w:id="4"/>
      <w:r w:rsidRPr="005235C4">
        <w:rPr>
          <w:rFonts w:ascii="Times New Roman" w:eastAsia="Times New Roman" w:hAnsi="Times New Roman" w:cs="Times New Roman"/>
          <w:sz w:val="24"/>
          <w:szCs w:val="24"/>
          <w:lang w:eastAsia="it-IT"/>
        </w:rPr>
        <w:t xml:space="preserve"> Tutela giurisdizionale. - Contro i provvedimenti definitivi previsti all'articolo 2, ultimo comma, ed all'articolo 4, ultimo comma, è ammessa la tutela giurisdizionale dinanzi ai competenti organi ordinari e amministrativi.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5" w:name="a6"/>
      <w:r w:rsidRPr="005235C4">
        <w:rPr>
          <w:rFonts w:ascii="Times New Roman" w:eastAsia="Times New Roman" w:hAnsi="Times New Roman" w:cs="Times New Roman"/>
          <w:sz w:val="24"/>
          <w:szCs w:val="24"/>
          <w:lang w:eastAsia="it-IT"/>
        </w:rPr>
        <w:t>6.</w:t>
      </w:r>
      <w:bookmarkEnd w:id="5"/>
      <w:r w:rsidRPr="005235C4">
        <w:rPr>
          <w:rFonts w:ascii="Times New Roman" w:eastAsia="Times New Roman" w:hAnsi="Times New Roman" w:cs="Times New Roman"/>
          <w:sz w:val="24"/>
          <w:szCs w:val="24"/>
          <w:lang w:eastAsia="it-IT"/>
        </w:rPr>
        <w:t xml:space="preserve"> Adempimenti del segretario della commissione sanitaria provinciale. - Il segretario della commissione sanitaria provinciale, entro tre giorni dagli accertamenti eseguiti, trasmette alla prefettura le domande e i referti relativi ai sordomuti, nei cui confronti siano state accertate le condizioni del sordomutismo.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Provvede, altresì, a trasmettere mensilmente gli elenchi dei nominativi di cui al precedente comma all'Ente nazionale per la protezione e l'assistenza dei sordomuti.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6" w:name="a7"/>
      <w:r w:rsidRPr="005235C4">
        <w:rPr>
          <w:rFonts w:ascii="Times New Roman" w:eastAsia="Times New Roman" w:hAnsi="Times New Roman" w:cs="Times New Roman"/>
          <w:sz w:val="24"/>
          <w:szCs w:val="24"/>
          <w:lang w:eastAsia="it-IT"/>
        </w:rPr>
        <w:t>7.</w:t>
      </w:r>
      <w:bookmarkEnd w:id="6"/>
      <w:r w:rsidRPr="005235C4">
        <w:rPr>
          <w:rFonts w:ascii="Times New Roman" w:eastAsia="Times New Roman" w:hAnsi="Times New Roman" w:cs="Times New Roman"/>
          <w:sz w:val="24"/>
          <w:szCs w:val="24"/>
          <w:lang w:eastAsia="it-IT"/>
        </w:rPr>
        <w:t xml:space="preserve"> Decorrenza dell'assegno. - L'assegno mensile di assistenza per i sordomuti che, alla data di entrata in vigore della presente legge, non fruiscono delle provvidenze previste dalla legge 18 marzo 1968, n. 388, è corrisposto con decorrenza dal primo giorno del mese successivo a quello della presentazione della domanda.</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In caso di decesso dell'interessato, l'assegno non può essere corrisposto agli eredi, salvo il diritto di questi a percepire le quote già maturate (5).</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i/>
          <w:iCs/>
          <w:sz w:val="24"/>
          <w:szCs w:val="24"/>
          <w:lang w:eastAsia="it-IT"/>
        </w:rPr>
        <w:t>(5) L'art. 7, vedi la L. 13 dicembre 1986, n. 912, ha fornito l'interpretazione autentica dell'ultimo comma del presente articolo.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7" w:name="a8"/>
      <w:r w:rsidRPr="005235C4">
        <w:rPr>
          <w:rFonts w:ascii="Times New Roman" w:eastAsia="Times New Roman" w:hAnsi="Times New Roman" w:cs="Times New Roman"/>
          <w:sz w:val="24"/>
          <w:szCs w:val="24"/>
          <w:lang w:eastAsia="it-IT"/>
        </w:rPr>
        <w:t>8.</w:t>
      </w:r>
      <w:bookmarkEnd w:id="7"/>
      <w:r w:rsidRPr="005235C4">
        <w:rPr>
          <w:rFonts w:ascii="Times New Roman" w:eastAsia="Times New Roman" w:hAnsi="Times New Roman" w:cs="Times New Roman"/>
          <w:sz w:val="24"/>
          <w:szCs w:val="24"/>
          <w:lang w:eastAsia="it-IT"/>
        </w:rPr>
        <w:t xml:space="preserve"> Modalità di erogazione dell'assegno. - Il Ministero dell'interno provvede, a semestre anticipato, ad accreditare alle prefetture i fondi occorrenti per il pagamento dell'assegno previsto dalla presente legge, in relazione al numero dei beneficiari residenti in ciascuna provincia.</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Le aperture di credito di cui al comma precedente possono essere effettuate in deroga al limite previsto dall'art. 56 del regio decreto 18 novembre 1923, n. 2440, e successive modificazioni.</w:t>
      </w:r>
    </w:p>
    <w:p w:rsidR="005235C4" w:rsidRPr="005235C4" w:rsidRDefault="005235C4" w:rsidP="005235C4">
      <w:pPr>
        <w:spacing w:before="100" w:beforeAutospacing="1" w:after="240"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I prefetti, entro dieci giorni dal ricevimento dei fondi, provvedono a ripartirli tra gli enti comunali di assistenza, mediante accreditamento su conti correnti postali vincolati per la destinazione, intestati ai singoli enti. Il pagamento ai beneficiari è effettuato con assegni postali tratti sui predetti conti correnti.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8" w:name="a9"/>
      <w:r w:rsidRPr="005235C4">
        <w:rPr>
          <w:rFonts w:ascii="Times New Roman" w:eastAsia="Times New Roman" w:hAnsi="Times New Roman" w:cs="Times New Roman"/>
          <w:sz w:val="24"/>
          <w:szCs w:val="24"/>
          <w:lang w:eastAsia="it-IT"/>
        </w:rPr>
        <w:t>9.</w:t>
      </w:r>
      <w:bookmarkEnd w:id="8"/>
      <w:r w:rsidRPr="005235C4">
        <w:rPr>
          <w:rFonts w:ascii="Times New Roman" w:eastAsia="Times New Roman" w:hAnsi="Times New Roman" w:cs="Times New Roman"/>
          <w:sz w:val="24"/>
          <w:szCs w:val="24"/>
          <w:lang w:eastAsia="it-IT"/>
        </w:rPr>
        <w:t xml:space="preserve"> Scadenza delle rate. - L'assegno è pagato in rate bimestrali scadenti il primo giorno dei mesi di febbraio, aprile, giugno, agosto, ottobre e dicembre di ciascun anno.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 xml:space="preserve">Sono irripetibili i ratei non maturati della mensilità </w:t>
      </w:r>
      <w:proofErr w:type="spellStart"/>
      <w:r w:rsidRPr="005235C4">
        <w:rPr>
          <w:rFonts w:ascii="Times New Roman" w:eastAsia="Times New Roman" w:hAnsi="Times New Roman" w:cs="Times New Roman"/>
          <w:sz w:val="24"/>
          <w:szCs w:val="24"/>
          <w:lang w:eastAsia="it-IT"/>
        </w:rPr>
        <w:t>percetta</w:t>
      </w:r>
      <w:proofErr w:type="spellEnd"/>
      <w:r w:rsidRPr="005235C4">
        <w:rPr>
          <w:rFonts w:ascii="Times New Roman" w:eastAsia="Times New Roman" w:hAnsi="Times New Roman" w:cs="Times New Roman"/>
          <w:sz w:val="24"/>
          <w:szCs w:val="24"/>
          <w:lang w:eastAsia="it-IT"/>
        </w:rPr>
        <w:t xml:space="preserve"> anticipatamente, sempre che non sia possibile effettuarne il recupero, con trattenuta diretta, su eventuali altre competenze spettanti a qualsiasi titolo al titolare o ai suoi aventi causa.</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9" w:name="a10"/>
      <w:r w:rsidRPr="005235C4">
        <w:rPr>
          <w:rFonts w:ascii="Times New Roman" w:eastAsia="Times New Roman" w:hAnsi="Times New Roman" w:cs="Times New Roman"/>
          <w:sz w:val="24"/>
          <w:szCs w:val="24"/>
          <w:lang w:eastAsia="it-IT"/>
        </w:rPr>
        <w:lastRenderedPageBreak/>
        <w:t>10.</w:t>
      </w:r>
      <w:bookmarkEnd w:id="9"/>
      <w:r w:rsidRPr="005235C4">
        <w:rPr>
          <w:rFonts w:ascii="Times New Roman" w:eastAsia="Times New Roman" w:hAnsi="Times New Roman" w:cs="Times New Roman"/>
          <w:sz w:val="24"/>
          <w:szCs w:val="24"/>
          <w:lang w:eastAsia="it-IT"/>
        </w:rPr>
        <w:t xml:space="preserve"> Sordomuti </w:t>
      </w:r>
      <w:proofErr w:type="spellStart"/>
      <w:r w:rsidRPr="005235C4">
        <w:rPr>
          <w:rFonts w:ascii="Times New Roman" w:eastAsia="Times New Roman" w:hAnsi="Times New Roman" w:cs="Times New Roman"/>
          <w:sz w:val="24"/>
          <w:szCs w:val="24"/>
          <w:lang w:eastAsia="it-IT"/>
        </w:rPr>
        <w:t>ultrassessantacinquenni</w:t>
      </w:r>
      <w:proofErr w:type="spellEnd"/>
      <w:r w:rsidRPr="005235C4">
        <w:rPr>
          <w:rFonts w:ascii="Times New Roman" w:eastAsia="Times New Roman" w:hAnsi="Times New Roman" w:cs="Times New Roman"/>
          <w:sz w:val="24"/>
          <w:szCs w:val="24"/>
          <w:lang w:eastAsia="it-IT"/>
        </w:rPr>
        <w:t>. - Con effetto dal 1° maggio 1969, in sostituzione dell'assegno di cui all'articolo 1, i sordomuti, dal primo giorno del mese successivo a quello del compimento dei 65 anni di età, sono ammessi su comunicazione delle competenti prefetture all'Istituto nazionale della previdenza sociale, al godimento della pensione sociale a carico del fondo di cui all'articolo 2 della legge 21 luglio 1965, n. 903, e successive modificazioni e integrazioni.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L'Istituto nazionale della previdenza sociale dà comunicazione della data di inizio del pagamento della prima mensilità della pensione sociale ai comitati provinciali di assistenza e beneficenza pubblica, che sospendono, dalla stessa data, la corresponsione dell'assegno, salvo rimborso, da parte dell'Istituto nazionale della previdenza sociale, di quanto anticipato agli interessati dagli enti comunali di assistenza a titolo di pensione sociale a decorrere dalla data indicata al precedente comma.</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10" w:name="a11"/>
      <w:r w:rsidRPr="005235C4">
        <w:rPr>
          <w:rFonts w:ascii="Times New Roman" w:eastAsia="Times New Roman" w:hAnsi="Times New Roman" w:cs="Times New Roman"/>
          <w:sz w:val="24"/>
          <w:szCs w:val="24"/>
          <w:lang w:eastAsia="it-IT"/>
        </w:rPr>
        <w:t>11.</w:t>
      </w:r>
      <w:bookmarkEnd w:id="10"/>
      <w:r w:rsidRPr="005235C4">
        <w:rPr>
          <w:rFonts w:ascii="Times New Roman" w:eastAsia="Times New Roman" w:hAnsi="Times New Roman" w:cs="Times New Roman"/>
          <w:sz w:val="24"/>
          <w:szCs w:val="24"/>
          <w:lang w:eastAsia="it-IT"/>
        </w:rPr>
        <w:t xml:space="preserve"> Disposizioni transitorie. - L'Ente nazionale per la protezione e l'assistenza dei sordomuti trasmette alle prefetture, in relazione alla residenza degli interessati, gli atti concernenti i sordomuti che, alla data di entrata in vigore della presente legge, fruiscono dell'assegno mensile di cui alla legge 18 marzo 1968, n. 388.</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L'Ente trasmette, altresì, le istanze e i ricorsi non ancora definiti alla data di entrata in vigore della presente legge. Per i sordomuti di età inferiore ai 65 anni che siano in godimento del predetto assegno, la prefettura dispone la continuazione dei pagamenti; dispone, nel contempo, l'attuazione del procedimento previsto dalla presente legge, ai fini della convalida e dell'adeguamento dell'assegno. Analogamente provvede per le istanze in corso ed i ricorsi non ancora definiti dei sordomuti di età inferiore ai 65 anni.</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Per i sordomuti di età superiore ai 65 anni, la prefettura continuerà l'erogazione del pagamento dell'assegno in corso, sino a quando l'Istituto nazionale della previdenza sociale non provvederà alla concessione della pensione sociale, fatto salvo il rimborso di cui all'articolo 10.</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 xml:space="preserve">La prefettura inoltrerà all'Istituto nazionale della previdenza sociale, ai fini della eventuale concessione della pensione sociale, le istanze non definite ed i ricorsi pendenti dei sordomuti </w:t>
      </w:r>
      <w:proofErr w:type="spellStart"/>
      <w:r w:rsidRPr="005235C4">
        <w:rPr>
          <w:rFonts w:ascii="Times New Roman" w:eastAsia="Times New Roman" w:hAnsi="Times New Roman" w:cs="Times New Roman"/>
          <w:sz w:val="24"/>
          <w:szCs w:val="24"/>
          <w:lang w:eastAsia="it-IT"/>
        </w:rPr>
        <w:t>ultrasessantacinquenni</w:t>
      </w:r>
      <w:proofErr w:type="spellEnd"/>
      <w:r w:rsidRPr="005235C4">
        <w:rPr>
          <w:rFonts w:ascii="Times New Roman" w:eastAsia="Times New Roman" w:hAnsi="Times New Roman" w:cs="Times New Roman"/>
          <w:sz w:val="24"/>
          <w:szCs w:val="24"/>
          <w:lang w:eastAsia="it-IT"/>
        </w:rPr>
        <w:t>.</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11" w:name="a12"/>
      <w:r w:rsidRPr="005235C4">
        <w:rPr>
          <w:rFonts w:ascii="Times New Roman" w:eastAsia="Times New Roman" w:hAnsi="Times New Roman" w:cs="Times New Roman"/>
          <w:sz w:val="24"/>
          <w:szCs w:val="24"/>
          <w:lang w:eastAsia="it-IT"/>
        </w:rPr>
        <w:t>12.</w:t>
      </w:r>
      <w:bookmarkEnd w:id="11"/>
      <w:r w:rsidRPr="005235C4">
        <w:rPr>
          <w:rFonts w:ascii="Times New Roman" w:eastAsia="Times New Roman" w:hAnsi="Times New Roman" w:cs="Times New Roman"/>
          <w:sz w:val="24"/>
          <w:szCs w:val="24"/>
          <w:lang w:eastAsia="it-IT"/>
        </w:rPr>
        <w:t xml:space="preserve"> Norme per la revisione. - Il comitato provinciale di assistenza e beneficenza pubblica, di cui all'articolo 2, può disporre accertamenti sulla permanenza delle condizioni di </w:t>
      </w:r>
      <w:proofErr w:type="spellStart"/>
      <w:r w:rsidRPr="005235C4">
        <w:rPr>
          <w:rFonts w:ascii="Times New Roman" w:eastAsia="Times New Roman" w:hAnsi="Times New Roman" w:cs="Times New Roman"/>
          <w:sz w:val="24"/>
          <w:szCs w:val="24"/>
          <w:lang w:eastAsia="it-IT"/>
        </w:rPr>
        <w:t>assistibilità</w:t>
      </w:r>
      <w:proofErr w:type="spellEnd"/>
      <w:r w:rsidRPr="005235C4">
        <w:rPr>
          <w:rFonts w:ascii="Times New Roman" w:eastAsia="Times New Roman" w:hAnsi="Times New Roman" w:cs="Times New Roman"/>
          <w:sz w:val="24"/>
          <w:szCs w:val="24"/>
          <w:lang w:eastAsia="it-IT"/>
        </w:rPr>
        <w:t>, previste dalla presente legge, nei confronti dei beneficiari dell'assegno, deliberando, se del caso, la revoca della concessione.</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Avverso tale provvedimento, è ammesso ricorso nei termini e con le modalità di cui agli articoli 2, 4, 5.</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12" w:name="a13"/>
      <w:r w:rsidRPr="005235C4">
        <w:rPr>
          <w:rFonts w:ascii="Times New Roman" w:eastAsia="Times New Roman" w:hAnsi="Times New Roman" w:cs="Times New Roman"/>
          <w:sz w:val="24"/>
          <w:szCs w:val="24"/>
          <w:lang w:eastAsia="it-IT"/>
        </w:rPr>
        <w:t>13.</w:t>
      </w:r>
      <w:bookmarkEnd w:id="12"/>
      <w:r w:rsidRPr="005235C4">
        <w:rPr>
          <w:rFonts w:ascii="Times New Roman" w:eastAsia="Times New Roman" w:hAnsi="Times New Roman" w:cs="Times New Roman"/>
          <w:sz w:val="24"/>
          <w:szCs w:val="24"/>
          <w:lang w:eastAsia="it-IT"/>
        </w:rPr>
        <w:t xml:space="preserve"> Finanziamento. - Le somme occorrenti per la concessione dell'assegno mensile di assistenza ai sordomuti saranno iscritte annualmente nello stato di previsione della spesa del Ministero dell'interno.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Per far fronte all'onere dipendente dall'attuazione della presente legge è stanziata, a decorrere dall'anno 1969, nello stato di previsione della spesa del predetto Ministero la somma di lire 900.000.000.</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lastRenderedPageBreak/>
        <w:t>Il contributo ordinario dello Stato a favore dell'Ente nazionale per la protezione e l'assistenza ai sordomuti, di cui all'articolo 1 della legge 18 marzo 1968, n. 388, è elevato da lire 2.750 milioni a lire 2.850 milioni a decorrere dall'anno 1969 ed è interamente destinato all'assolvimento delle finalità previste dall'articolo 2 della legge 21 agosto 1950, n. 698, e dall'articolo 2 del decreto del Presidente della Repubblica 3 luglio 1957, n. 826.</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All'onere derivante dalle disposizioni del secondo e terzo comma del presente articolo si provvede per l'anno 1969 a carico del fondo di cui al capitolo 3523 dello stato di previsione della spesa del Ministero del tesoro per lo stesso anno finanziario e per l'anno 1970 con riduzione del fondo di cui al capitolo 3523 del predetto stato di previsione della spesa per l'anno 1970.</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Il Ministro per il tesoro è autorizzato ad apportare, con propri decreti, le occorrenti variazioni di bilancio.</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bookmarkStart w:id="13" w:name="a14"/>
      <w:r w:rsidRPr="005235C4">
        <w:rPr>
          <w:rFonts w:ascii="Times New Roman" w:eastAsia="Times New Roman" w:hAnsi="Times New Roman" w:cs="Times New Roman"/>
          <w:sz w:val="24"/>
          <w:szCs w:val="24"/>
          <w:lang w:eastAsia="it-IT"/>
        </w:rPr>
        <w:t>14.</w:t>
      </w:r>
      <w:bookmarkEnd w:id="13"/>
      <w:r w:rsidRPr="005235C4">
        <w:rPr>
          <w:rFonts w:ascii="Times New Roman" w:eastAsia="Times New Roman" w:hAnsi="Times New Roman" w:cs="Times New Roman"/>
          <w:sz w:val="24"/>
          <w:szCs w:val="24"/>
          <w:lang w:eastAsia="it-IT"/>
        </w:rPr>
        <w:t xml:space="preserve"> Abrogazione. - E' abrogata ogni disposizione incompatibile con la presente legge.</w:t>
      </w:r>
    </w:p>
    <w:p w:rsidR="005235C4" w:rsidRPr="005235C4" w:rsidRDefault="005235C4" w:rsidP="005235C4">
      <w:pPr>
        <w:spacing w:before="100" w:beforeAutospacing="1" w:after="100" w:afterAutospacing="1" w:line="240" w:lineRule="auto"/>
        <w:rPr>
          <w:rFonts w:ascii="Times New Roman" w:eastAsia="Times New Roman" w:hAnsi="Times New Roman" w:cs="Times New Roman"/>
          <w:sz w:val="24"/>
          <w:szCs w:val="24"/>
          <w:lang w:eastAsia="it-IT"/>
        </w:rPr>
      </w:pPr>
      <w:r w:rsidRPr="005235C4">
        <w:rPr>
          <w:rFonts w:ascii="Times New Roman" w:eastAsia="Times New Roman" w:hAnsi="Times New Roman" w:cs="Times New Roman"/>
          <w:sz w:val="24"/>
          <w:szCs w:val="24"/>
          <w:lang w:eastAsia="it-IT"/>
        </w:rPr>
        <w:t> </w:t>
      </w:r>
    </w:p>
    <w:p w:rsidR="00B30819" w:rsidRDefault="005235C4" w:rsidP="005235C4">
      <w:r w:rsidRPr="005235C4">
        <w:rPr>
          <w:rFonts w:ascii="Times New Roman" w:eastAsia="Times New Roman" w:hAnsi="Times New Roman" w:cs="Times New Roman"/>
          <w:sz w:val="24"/>
          <w:szCs w:val="24"/>
          <w:lang w:eastAsia="it-IT"/>
        </w:rPr>
        <w:pict/>
      </w:r>
      <w:r w:rsidRPr="005235C4">
        <w:rPr>
          <w:rFonts w:ascii="Times New Roman" w:eastAsia="Times New Roman" w:hAnsi="Times New Roman" w:cs="Times New Roman"/>
          <w:sz w:val="24"/>
          <w:szCs w:val="24"/>
          <w:lang w:eastAsia="it-IT"/>
        </w:rPr>
        <w:pict/>
      </w:r>
      <w:r w:rsidRPr="005235C4">
        <w:rPr>
          <w:rFonts w:ascii="Times New Roman" w:eastAsia="Times New Roman" w:hAnsi="Times New Roman" w:cs="Times New Roman"/>
          <w:sz w:val="24"/>
          <w:szCs w:val="24"/>
          <w:lang w:eastAsia="it-IT"/>
        </w:rPr>
        <w:pict/>
      </w:r>
    </w:p>
    <w:sectPr w:rsidR="00B30819" w:rsidSect="00B3081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235C4"/>
    <w:rsid w:val="005235C4"/>
    <w:rsid w:val="00B3081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08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5235C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5235C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andylex.org/stato/l211188.shtml" TargetMode="External"/><Relationship Id="rId5" Type="http://schemas.openxmlformats.org/officeDocument/2006/relationships/hyperlink" Target="http://www.handylex.org/stato/l290280.shtml" TargetMode="External"/><Relationship Id="rId4" Type="http://schemas.openxmlformats.org/officeDocument/2006/relationships/hyperlink" Target="http://www.handylex.org/stato/l181273.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2017</Words>
  <Characters>11497</Characters>
  <Application>Microsoft Office Word</Application>
  <DocSecurity>0</DocSecurity>
  <Lines>95</Lines>
  <Paragraphs>26</Paragraphs>
  <ScaleCrop>false</ScaleCrop>
  <Company> </Company>
  <LinksUpToDate>false</LinksUpToDate>
  <CharactersWithSpaces>13488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2008-10-05T18:45:00Z</dcterms:created>
  <dcterms:modified xsi:type="dcterms:W3CDTF">2008-10-05T18:46:00Z</dcterms:modified>
</cp:coreProperties>
</file>